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B9D1A" w14:textId="2B6F4008" w:rsidR="00C55D85" w:rsidRDefault="00C55D85" w:rsidP="00DD5F82">
      <w:pPr>
        <w:pStyle w:val="GraphicAnchor"/>
      </w:pPr>
    </w:p>
    <w:tbl>
      <w:tblPr>
        <w:tblStyle w:val="TableGrid"/>
        <w:tblW w:w="50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2" w:type="dxa"/>
          <w:right w:w="142" w:type="dxa"/>
        </w:tblCellMar>
        <w:tblLook w:val="0620" w:firstRow="1" w:lastRow="0" w:firstColumn="0" w:lastColumn="0" w:noHBand="1" w:noVBand="1"/>
      </w:tblPr>
      <w:tblGrid>
        <w:gridCol w:w="903"/>
        <w:gridCol w:w="2704"/>
        <w:gridCol w:w="7103"/>
        <w:gridCol w:w="270"/>
        <w:gridCol w:w="34"/>
      </w:tblGrid>
      <w:tr w:rsidR="00DD5F82" w14:paraId="72EFD3D1" w14:textId="77777777" w:rsidTr="007865C2">
        <w:trPr>
          <w:trHeight w:val="1773"/>
        </w:trPr>
        <w:tc>
          <w:tcPr>
            <w:tcW w:w="903" w:type="dxa"/>
            <w:tcBorders>
              <w:bottom w:val="single" w:sz="18" w:space="0" w:color="5F5F5F" w:themeColor="accent5"/>
            </w:tcBorders>
          </w:tcPr>
          <w:p w14:paraId="6966C7FB" w14:textId="1C94B22F" w:rsidR="00DD5F82" w:rsidRDefault="00DF529E" w:rsidP="00B20DFA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DEA9720" wp14:editId="5A335E50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13970</wp:posOffset>
                  </wp:positionV>
                  <wp:extent cx="2011680" cy="804672"/>
                  <wp:effectExtent l="0" t="0" r="762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ftGldCrstPurPCC (2)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7" w:type="dxa"/>
            <w:gridSpan w:val="2"/>
            <w:tcBorders>
              <w:bottom w:val="single" w:sz="18" w:space="0" w:color="5F5F5F" w:themeColor="accent5"/>
            </w:tcBorders>
          </w:tcPr>
          <w:p w14:paraId="2712EAB6" w14:textId="4E680039" w:rsidR="00DD5F82" w:rsidRPr="006D1CE8" w:rsidRDefault="005015B9" w:rsidP="005015B9">
            <w:pPr>
              <w:pStyle w:val="Title"/>
              <w:jc w:val="center"/>
              <w:rPr>
                <w:rFonts w:ascii="Garamond" w:hAnsi="Garamond"/>
                <w:sz w:val="72"/>
              </w:rPr>
            </w:pPr>
            <w:r>
              <w:rPr>
                <w:rFonts w:ascii="Garamond" w:hAnsi="Garamond"/>
                <w:sz w:val="72"/>
              </w:rPr>
              <w:t xml:space="preserve">               </w:t>
            </w:r>
            <w:r w:rsidR="00963C6B">
              <w:rPr>
                <w:rFonts w:ascii="Garamond" w:hAnsi="Garamond"/>
                <w:sz w:val="72"/>
              </w:rPr>
              <w:t xml:space="preserve">  </w:t>
            </w:r>
            <w:r w:rsidR="008926E4">
              <w:rPr>
                <w:rFonts w:ascii="Garamond" w:hAnsi="Garamond"/>
                <w:smallCaps/>
                <w:sz w:val="72"/>
              </w:rPr>
              <w:t>Use of Technology</w:t>
            </w:r>
          </w:p>
          <w:p w14:paraId="1BC30BA1" w14:textId="651EC9B8" w:rsidR="00DD5F82" w:rsidRDefault="005015B9" w:rsidP="005015B9">
            <w:pPr>
              <w:pStyle w:val="Subtitle"/>
              <w:jc w:val="center"/>
            </w:pPr>
            <w:r>
              <w:rPr>
                <w:rFonts w:ascii="Garamond" w:hAnsi="Garamond"/>
              </w:rPr>
              <w:t xml:space="preserve">                               </w:t>
            </w:r>
            <w:r w:rsidR="00963C6B">
              <w:rPr>
                <w:rFonts w:ascii="Garamond" w:hAnsi="Garamond"/>
              </w:rPr>
              <w:t xml:space="preserve">   </w:t>
            </w:r>
            <w:r w:rsidR="00C12EE5">
              <w:rPr>
                <w:rFonts w:ascii="Garamond" w:hAnsi="Garamond"/>
              </w:rPr>
              <w:t xml:space="preserve">Training </w:t>
            </w:r>
            <w:r w:rsidR="000B7EE5" w:rsidRPr="006D1CE8">
              <w:rPr>
                <w:rFonts w:ascii="Garamond" w:hAnsi="Garamond"/>
              </w:rPr>
              <w:t>For College Hearings</w:t>
            </w:r>
          </w:p>
        </w:tc>
        <w:tc>
          <w:tcPr>
            <w:tcW w:w="304" w:type="dxa"/>
            <w:gridSpan w:val="2"/>
            <w:tcBorders>
              <w:bottom w:val="single" w:sz="18" w:space="0" w:color="5F5F5F" w:themeColor="accent5"/>
            </w:tcBorders>
          </w:tcPr>
          <w:p w14:paraId="24A1EC38" w14:textId="4D8C506C" w:rsidR="00DD5F82" w:rsidRDefault="00DD5F82" w:rsidP="00B20DFA"/>
        </w:tc>
      </w:tr>
      <w:tr w:rsidR="00DD5F82" w14:paraId="394344F5" w14:textId="77777777" w:rsidTr="007865C2">
        <w:trPr>
          <w:gridAfter w:val="1"/>
          <w:wAfter w:w="34" w:type="dxa"/>
          <w:trHeight w:val="2057"/>
        </w:trPr>
        <w:tc>
          <w:tcPr>
            <w:tcW w:w="3607" w:type="dxa"/>
            <w:gridSpan w:val="2"/>
            <w:tcBorders>
              <w:right w:val="single" w:sz="18" w:space="0" w:color="5F5F5F" w:themeColor="accent5"/>
            </w:tcBorders>
          </w:tcPr>
          <w:p w14:paraId="2ACD0AFE" w14:textId="77777777" w:rsidR="00A83784" w:rsidRPr="00335684" w:rsidRDefault="00A83784" w:rsidP="00B20DFA">
            <w:pPr>
              <w:pStyle w:val="Heading1"/>
              <w:rPr>
                <w:smallCaps/>
                <w:color w:val="4B4B4B" w:themeColor="accent3" w:themeShade="80"/>
                <w:sz w:val="4"/>
                <w:szCs w:val="8"/>
              </w:rPr>
            </w:pPr>
          </w:p>
          <w:p w14:paraId="248C50B8" w14:textId="656E99E8" w:rsidR="00DD5F82" w:rsidRPr="003F304A" w:rsidRDefault="004A1397" w:rsidP="004A1397">
            <w:pPr>
              <w:pStyle w:val="Heading1"/>
              <w:jc w:val="left"/>
              <w:rPr>
                <w:smallCaps/>
                <w:sz w:val="25"/>
                <w:szCs w:val="25"/>
              </w:rPr>
            </w:pPr>
            <w:r>
              <w:rPr>
                <w:smallCaps/>
                <w:color w:val="4B4B4B" w:themeColor="accent3" w:themeShade="80"/>
                <w:sz w:val="25"/>
                <w:szCs w:val="25"/>
              </w:rPr>
              <w:t>Remote Equipment</w:t>
            </w:r>
          </w:p>
          <w:p w14:paraId="3AB08CB3" w14:textId="2710356B" w:rsidR="000B7EE5" w:rsidRPr="00FE0A3E" w:rsidRDefault="000B7EE5" w:rsidP="00FE0A3E">
            <w:pPr>
              <w:pStyle w:val="ListBullet"/>
              <w:rPr>
                <w:b/>
                <w:bCs/>
              </w:rPr>
            </w:pPr>
            <w:r w:rsidRPr="00FE0A3E">
              <w:rPr>
                <w:b/>
                <w:bCs/>
              </w:rPr>
              <w:t xml:space="preserve">COMPUTER / EMAIL     </w:t>
            </w:r>
          </w:p>
          <w:p w14:paraId="4A91B18B" w14:textId="77777777" w:rsidR="0071019F" w:rsidRPr="0071019F" w:rsidRDefault="0071019F" w:rsidP="00FE0A3E">
            <w:pPr>
              <w:pStyle w:val="TextLeft"/>
              <w:jc w:val="center"/>
              <w:rPr>
                <w:sz w:val="8"/>
                <w:szCs w:val="10"/>
              </w:rPr>
            </w:pPr>
          </w:p>
          <w:p w14:paraId="23DE76E2" w14:textId="64B1F1B6" w:rsidR="00B944CF" w:rsidRPr="00A83784" w:rsidRDefault="00FE0A3E" w:rsidP="00FE0A3E">
            <w:pPr>
              <w:pStyle w:val="TextLeft"/>
              <w:jc w:val="center"/>
              <w:rPr>
                <w:sz w:val="21"/>
                <w:szCs w:val="21"/>
              </w:rPr>
            </w:pPr>
            <w:r w:rsidRPr="00A83784">
              <w:rPr>
                <w:sz w:val="21"/>
                <w:szCs w:val="21"/>
              </w:rPr>
              <w:t>Create a</w:t>
            </w:r>
            <w:r w:rsidR="00B944CF" w:rsidRPr="00A83784">
              <w:rPr>
                <w:sz w:val="21"/>
                <w:szCs w:val="21"/>
              </w:rPr>
              <w:t xml:space="preserve"> </w:t>
            </w:r>
            <w:r w:rsidR="003C2627">
              <w:rPr>
                <w:sz w:val="21"/>
                <w:szCs w:val="21"/>
              </w:rPr>
              <w:t xml:space="preserve">MS </w:t>
            </w:r>
            <w:r w:rsidR="00B944CF" w:rsidRPr="00A83784">
              <w:rPr>
                <w:sz w:val="21"/>
                <w:szCs w:val="21"/>
              </w:rPr>
              <w:t>Teams Meeting</w:t>
            </w:r>
            <w:r w:rsidR="0071019F" w:rsidRPr="00A83784">
              <w:rPr>
                <w:sz w:val="21"/>
                <w:szCs w:val="21"/>
              </w:rPr>
              <w:t>:</w:t>
            </w:r>
          </w:p>
          <w:p w14:paraId="5B54923E" w14:textId="77777777" w:rsidR="0071019F" w:rsidRPr="00A83784" w:rsidRDefault="0071019F" w:rsidP="0071019F">
            <w:pPr>
              <w:rPr>
                <w:sz w:val="8"/>
                <w:szCs w:val="8"/>
              </w:rPr>
            </w:pPr>
          </w:p>
          <w:p w14:paraId="2E761C66" w14:textId="3FC92B1C" w:rsidR="00B944CF" w:rsidRPr="00A83784" w:rsidRDefault="00B944CF" w:rsidP="00B944CF">
            <w:pPr>
              <w:pStyle w:val="TextLeft"/>
              <w:numPr>
                <w:ilvl w:val="0"/>
                <w:numId w:val="11"/>
              </w:numPr>
              <w:jc w:val="left"/>
              <w:rPr>
                <w:sz w:val="21"/>
                <w:szCs w:val="21"/>
              </w:rPr>
            </w:pPr>
            <w:r w:rsidRPr="00A83784">
              <w:rPr>
                <w:sz w:val="21"/>
                <w:szCs w:val="21"/>
              </w:rPr>
              <w:t xml:space="preserve">Open your </w:t>
            </w:r>
            <w:r w:rsidR="003C2627">
              <w:rPr>
                <w:sz w:val="21"/>
                <w:szCs w:val="21"/>
              </w:rPr>
              <w:t>O</w:t>
            </w:r>
            <w:r w:rsidRPr="00A83784">
              <w:rPr>
                <w:sz w:val="21"/>
                <w:szCs w:val="21"/>
              </w:rPr>
              <w:t xml:space="preserve">utlook email </w:t>
            </w:r>
          </w:p>
          <w:p w14:paraId="176BDA6D" w14:textId="77777777" w:rsidR="00B944CF" w:rsidRPr="00A83784" w:rsidRDefault="00B944CF" w:rsidP="00B944CF">
            <w:pPr>
              <w:pStyle w:val="TextLeft"/>
              <w:numPr>
                <w:ilvl w:val="0"/>
                <w:numId w:val="11"/>
              </w:numPr>
              <w:jc w:val="left"/>
              <w:rPr>
                <w:sz w:val="21"/>
                <w:szCs w:val="21"/>
              </w:rPr>
            </w:pPr>
            <w:r w:rsidRPr="00A83784">
              <w:rPr>
                <w:sz w:val="21"/>
                <w:szCs w:val="21"/>
              </w:rPr>
              <w:t>Select your calendar</w:t>
            </w:r>
          </w:p>
          <w:p w14:paraId="5CAF9182" w14:textId="77777777" w:rsidR="003F3DAC" w:rsidRPr="00A83784" w:rsidRDefault="00B944CF" w:rsidP="00B944CF">
            <w:pPr>
              <w:pStyle w:val="TextLeft"/>
              <w:numPr>
                <w:ilvl w:val="0"/>
                <w:numId w:val="11"/>
              </w:numPr>
              <w:jc w:val="left"/>
              <w:rPr>
                <w:sz w:val="21"/>
                <w:szCs w:val="21"/>
              </w:rPr>
            </w:pPr>
            <w:r w:rsidRPr="00A83784">
              <w:rPr>
                <w:sz w:val="21"/>
                <w:szCs w:val="21"/>
              </w:rPr>
              <w:t>Click the ‘New Teams Meeting’ button</w:t>
            </w:r>
          </w:p>
          <w:p w14:paraId="008BE0CB" w14:textId="77777777" w:rsidR="00EB0539" w:rsidRPr="00A83784" w:rsidRDefault="0061770D" w:rsidP="00EB0539">
            <w:pPr>
              <w:pStyle w:val="TextLeft"/>
              <w:numPr>
                <w:ilvl w:val="0"/>
                <w:numId w:val="11"/>
              </w:numPr>
              <w:jc w:val="left"/>
              <w:rPr>
                <w:sz w:val="21"/>
                <w:szCs w:val="21"/>
              </w:rPr>
            </w:pPr>
            <w:r w:rsidRPr="00A83784">
              <w:rPr>
                <w:sz w:val="21"/>
                <w:szCs w:val="21"/>
              </w:rPr>
              <w:t xml:space="preserve">Add each required attendee, date, time &amp; location – a link will be included in the </w:t>
            </w:r>
            <w:r w:rsidR="00D41F72" w:rsidRPr="00A83784">
              <w:rPr>
                <w:sz w:val="21"/>
                <w:szCs w:val="21"/>
              </w:rPr>
              <w:t>meeting request for them to join</w:t>
            </w:r>
          </w:p>
          <w:p w14:paraId="312BF6B3" w14:textId="5742B87C" w:rsidR="00B944CF" w:rsidRPr="00A83784" w:rsidRDefault="006C53B8" w:rsidP="000B7EE5">
            <w:pPr>
              <w:pStyle w:val="TextLeft"/>
              <w:numPr>
                <w:ilvl w:val="0"/>
                <w:numId w:val="11"/>
              </w:numPr>
              <w:jc w:val="left"/>
              <w:rPr>
                <w:sz w:val="21"/>
                <w:szCs w:val="21"/>
              </w:rPr>
            </w:pPr>
            <w:r w:rsidRPr="00A83784">
              <w:rPr>
                <w:sz w:val="21"/>
                <w:szCs w:val="21"/>
              </w:rPr>
              <w:t>Use ‘Room Finder’ next to location to add the conference room</w:t>
            </w:r>
            <w:r w:rsidR="00B532C8" w:rsidRPr="00A83784">
              <w:rPr>
                <w:sz w:val="21"/>
                <w:szCs w:val="21"/>
              </w:rPr>
              <w:t xml:space="preserve"> (be sure it is</w:t>
            </w:r>
            <w:r w:rsidR="000E5165" w:rsidRPr="00A83784">
              <w:rPr>
                <w:sz w:val="21"/>
                <w:szCs w:val="21"/>
              </w:rPr>
              <w:t xml:space="preserve"> open for the time requested)</w:t>
            </w:r>
            <w:r w:rsidR="008C756A" w:rsidRPr="00A83784">
              <w:rPr>
                <w:sz w:val="21"/>
                <w:szCs w:val="21"/>
              </w:rPr>
              <w:t>. If a conference room is not needed and hearing will be fully remote, no additional location needs to be added.</w:t>
            </w:r>
          </w:p>
          <w:p w14:paraId="73EF422B" w14:textId="77777777" w:rsidR="008C756A" w:rsidRPr="008C756A" w:rsidRDefault="008C756A" w:rsidP="008C756A"/>
          <w:p w14:paraId="0590BA3C" w14:textId="2387968F" w:rsidR="00DD5F82" w:rsidRPr="00A83784" w:rsidRDefault="00B944CF" w:rsidP="00730BED">
            <w:pPr>
              <w:pStyle w:val="TextLeft"/>
              <w:rPr>
                <w:sz w:val="21"/>
                <w:szCs w:val="21"/>
              </w:rPr>
            </w:pPr>
            <w:r w:rsidRPr="00A83784">
              <w:rPr>
                <w:sz w:val="21"/>
                <w:szCs w:val="21"/>
              </w:rPr>
              <w:t>If you need a telephone number to use with MS Teams, please submit a Help Desk ticket with justification and IT can add telephon</w:t>
            </w:r>
            <w:r w:rsidR="003C2627">
              <w:rPr>
                <w:sz w:val="21"/>
                <w:szCs w:val="21"/>
              </w:rPr>
              <w:t>e</w:t>
            </w:r>
            <w:r w:rsidRPr="00A83784">
              <w:rPr>
                <w:sz w:val="21"/>
                <w:szCs w:val="21"/>
              </w:rPr>
              <w:t xml:space="preserve"> options to your MS Teams account. There is a monthly fee for this option.</w:t>
            </w:r>
          </w:p>
        </w:tc>
        <w:tc>
          <w:tcPr>
            <w:tcW w:w="7373" w:type="dxa"/>
            <w:gridSpan w:val="2"/>
            <w:vMerge w:val="restart"/>
            <w:tcBorders>
              <w:left w:val="single" w:sz="18" w:space="0" w:color="5F5F5F" w:themeColor="accent5"/>
            </w:tcBorders>
          </w:tcPr>
          <w:p w14:paraId="787AD671" w14:textId="77777777" w:rsidR="00A83784" w:rsidRPr="00D13BF9" w:rsidRDefault="00A83784" w:rsidP="00B20DFA">
            <w:pPr>
              <w:pStyle w:val="Heading2"/>
              <w:rPr>
                <w:smallCaps/>
                <w:color w:val="4B4B4B" w:themeColor="accent3" w:themeShade="80"/>
                <w:sz w:val="4"/>
                <w:szCs w:val="2"/>
              </w:rPr>
            </w:pPr>
          </w:p>
          <w:p w14:paraId="1C453962" w14:textId="18EBA39E" w:rsidR="00DD5F82" w:rsidRPr="003F304A" w:rsidRDefault="004A1397" w:rsidP="003F304A">
            <w:pPr>
              <w:pStyle w:val="Heading2"/>
              <w:ind w:right="-3735"/>
              <w:rPr>
                <w:smallCaps/>
                <w:sz w:val="25"/>
                <w:szCs w:val="25"/>
              </w:rPr>
            </w:pPr>
            <w:r>
              <w:rPr>
                <w:smallCaps/>
                <w:color w:val="4B4B4B" w:themeColor="accent3" w:themeShade="80"/>
                <w:sz w:val="25"/>
                <w:szCs w:val="25"/>
              </w:rPr>
              <w:t>Conference Room Equipment</w:t>
            </w:r>
          </w:p>
          <w:p w14:paraId="43C25824" w14:textId="2E720E94" w:rsidR="00DD5F82" w:rsidRPr="00E61CC3" w:rsidRDefault="00736AFC" w:rsidP="00DD5F82">
            <w:pPr>
              <w:pStyle w:val="ListBullet"/>
              <w:rPr>
                <w:b/>
                <w:bCs/>
              </w:rPr>
            </w:pPr>
            <w:r>
              <w:rPr>
                <w:b/>
                <w:bCs/>
              </w:rPr>
              <w:t xml:space="preserve">AUDIO </w:t>
            </w:r>
            <w:r w:rsidR="00F82F45">
              <w:rPr>
                <w:b/>
                <w:bCs/>
              </w:rPr>
              <w:t>RECORDING DEVISE</w:t>
            </w:r>
          </w:p>
          <w:p w14:paraId="4FE27616" w14:textId="4D54CE4F" w:rsidR="00E42A13" w:rsidRDefault="00F2291A" w:rsidP="000A152A">
            <w:pPr>
              <w:pStyle w:val="ListBullet"/>
              <w:numPr>
                <w:ilvl w:val="0"/>
                <w:numId w:val="0"/>
              </w:numPr>
              <w:ind w:left="527" w:hanging="357"/>
            </w:pPr>
            <w:r>
              <w:rPr>
                <w:sz w:val="21"/>
                <w:szCs w:val="21"/>
              </w:rPr>
              <w:t>This equipment is REQUIRED to be used in ALL hearings</w:t>
            </w:r>
            <w:r w:rsidR="003C2627">
              <w:rPr>
                <w:sz w:val="21"/>
                <w:szCs w:val="21"/>
              </w:rPr>
              <w:t xml:space="preserve">. The Title IX Coordinator/Deputy will oversee the </w:t>
            </w:r>
            <w:r w:rsidR="00736AFC">
              <w:rPr>
                <w:sz w:val="21"/>
                <w:szCs w:val="21"/>
              </w:rPr>
              <w:t xml:space="preserve">audio </w:t>
            </w:r>
            <w:r w:rsidR="003C2627">
              <w:rPr>
                <w:sz w:val="21"/>
                <w:szCs w:val="21"/>
              </w:rPr>
              <w:t>recording of the hearing</w:t>
            </w:r>
            <w:r w:rsidR="000D172B">
              <w:rPr>
                <w:sz w:val="21"/>
                <w:szCs w:val="21"/>
              </w:rPr>
              <w:t xml:space="preserve">, </w:t>
            </w:r>
            <w:r w:rsidR="008D03BC">
              <w:t>Power on the recorder</w:t>
            </w:r>
            <w:r w:rsidR="00B1580F">
              <w:t>.</w:t>
            </w:r>
          </w:p>
          <w:p w14:paraId="57430B01" w14:textId="0A377E70" w:rsidR="008D03BC" w:rsidRDefault="008D03BC" w:rsidP="00E42A13">
            <w:pPr>
              <w:pStyle w:val="ListBullet"/>
              <w:numPr>
                <w:ilvl w:val="0"/>
                <w:numId w:val="14"/>
              </w:numPr>
            </w:pPr>
            <w:r>
              <w:t>Attach the speakers</w:t>
            </w:r>
            <w:r w:rsidR="00B1580F">
              <w:t>.</w:t>
            </w:r>
          </w:p>
          <w:p w14:paraId="71DF4923" w14:textId="2CCA0608" w:rsidR="008D03BC" w:rsidRDefault="00830900" w:rsidP="00E42A13">
            <w:pPr>
              <w:pStyle w:val="ListBullet"/>
              <w:numPr>
                <w:ilvl w:val="0"/>
                <w:numId w:val="14"/>
              </w:numPr>
            </w:pPr>
            <w:r>
              <w:t>Click the record button at the beginning of the hearing.</w:t>
            </w:r>
          </w:p>
          <w:p w14:paraId="5D563367" w14:textId="5F33E19E" w:rsidR="00830900" w:rsidRDefault="00830900" w:rsidP="00E42A13">
            <w:pPr>
              <w:pStyle w:val="ListBullet"/>
              <w:numPr>
                <w:ilvl w:val="0"/>
                <w:numId w:val="14"/>
              </w:numPr>
            </w:pPr>
            <w:r>
              <w:t>Click the stop button after the conclusion of the hearing.</w:t>
            </w:r>
          </w:p>
          <w:p w14:paraId="41E74507" w14:textId="77777777" w:rsidR="000B7EE5" w:rsidRPr="00DD5F82" w:rsidRDefault="000B7EE5" w:rsidP="000B7EE5">
            <w:pPr>
              <w:pStyle w:val="ListBullet"/>
              <w:numPr>
                <w:ilvl w:val="0"/>
                <w:numId w:val="0"/>
              </w:numPr>
              <w:ind w:left="527" w:hanging="357"/>
            </w:pPr>
          </w:p>
          <w:p w14:paraId="11BC252A" w14:textId="471FCF24" w:rsidR="00DD5F82" w:rsidRPr="00E61CC3" w:rsidRDefault="00F82F45" w:rsidP="00DD5F82">
            <w:pPr>
              <w:pStyle w:val="ListBullet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  <w:p w14:paraId="775C3610" w14:textId="156BD94D" w:rsidR="000B7EE5" w:rsidRDefault="003C2627" w:rsidP="000B7EE5">
            <w:pPr>
              <w:pStyle w:val="ListBullet"/>
              <w:numPr>
                <w:ilvl w:val="0"/>
                <w:numId w:val="0"/>
              </w:numPr>
              <w:ind w:left="527" w:hanging="3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  <w:r w:rsidR="009A0834">
              <w:rPr>
                <w:sz w:val="21"/>
                <w:szCs w:val="21"/>
              </w:rPr>
              <w:t xml:space="preserve">o connect with a remote </w:t>
            </w:r>
            <w:r w:rsidR="003247C8">
              <w:rPr>
                <w:sz w:val="21"/>
                <w:szCs w:val="21"/>
              </w:rPr>
              <w:t xml:space="preserve">hearing participant who does not have an available </w:t>
            </w:r>
            <w:r w:rsidR="00E42A13">
              <w:rPr>
                <w:sz w:val="21"/>
                <w:szCs w:val="21"/>
              </w:rPr>
              <w:t>computer</w:t>
            </w:r>
            <w:r w:rsidR="00667A06">
              <w:rPr>
                <w:sz w:val="21"/>
                <w:szCs w:val="21"/>
              </w:rPr>
              <w:t xml:space="preserve"> or</w:t>
            </w:r>
            <w:r w:rsidR="003247C8">
              <w:rPr>
                <w:sz w:val="21"/>
                <w:szCs w:val="21"/>
              </w:rPr>
              <w:t xml:space="preserve"> whose speaker may not be working</w:t>
            </w:r>
            <w:r>
              <w:rPr>
                <w:sz w:val="21"/>
                <w:szCs w:val="21"/>
              </w:rPr>
              <w:t>:</w:t>
            </w:r>
          </w:p>
          <w:p w14:paraId="67CD3F03" w14:textId="6B9FB0DC" w:rsidR="003247C8" w:rsidRDefault="00F82F45" w:rsidP="003247C8">
            <w:pPr>
              <w:pStyle w:val="ListBullet"/>
              <w:numPr>
                <w:ilvl w:val="0"/>
                <w:numId w:val="13"/>
              </w:numPr>
            </w:pPr>
            <w:r>
              <w:t>Select the phone icon</w:t>
            </w:r>
            <w:r w:rsidR="008948C2">
              <w:t xml:space="preserve"> on the receiver.</w:t>
            </w:r>
          </w:p>
          <w:p w14:paraId="00E83322" w14:textId="6850CE32" w:rsidR="00F82F45" w:rsidRDefault="00E42A13" w:rsidP="003247C8">
            <w:pPr>
              <w:pStyle w:val="ListBullet"/>
              <w:numPr>
                <w:ilvl w:val="0"/>
                <w:numId w:val="13"/>
              </w:numPr>
            </w:pPr>
            <w:r>
              <w:t xml:space="preserve">Dial the </w:t>
            </w:r>
            <w:r w:rsidR="00524E17">
              <w:t>provided phone number for the participant</w:t>
            </w:r>
            <w:r w:rsidR="008948C2">
              <w:t>.</w:t>
            </w:r>
          </w:p>
          <w:p w14:paraId="36E229DD" w14:textId="51C40622" w:rsidR="00524E17" w:rsidRDefault="00524E17" w:rsidP="003247C8">
            <w:pPr>
              <w:pStyle w:val="ListBullet"/>
              <w:numPr>
                <w:ilvl w:val="0"/>
                <w:numId w:val="13"/>
              </w:numPr>
            </w:pPr>
            <w:r>
              <w:t>If more than one participant is needed to be reached:</w:t>
            </w:r>
          </w:p>
          <w:p w14:paraId="682C31DF" w14:textId="7A773ECE" w:rsidR="00567DCF" w:rsidRDefault="00B114FA" w:rsidP="006B1845">
            <w:pPr>
              <w:pStyle w:val="ListBullet"/>
              <w:numPr>
                <w:ilvl w:val="1"/>
                <w:numId w:val="13"/>
              </w:numPr>
            </w:pPr>
            <w:r>
              <w:t>put the first participant on hold and select the conference button.</w:t>
            </w:r>
          </w:p>
          <w:p w14:paraId="2E771CBF" w14:textId="657C2780" w:rsidR="00B114FA" w:rsidRDefault="00B114FA" w:rsidP="006B1845">
            <w:pPr>
              <w:pStyle w:val="ListBullet"/>
              <w:numPr>
                <w:ilvl w:val="1"/>
                <w:numId w:val="13"/>
              </w:numPr>
            </w:pPr>
            <w:r>
              <w:t xml:space="preserve">dial the  </w:t>
            </w:r>
            <w:r w:rsidR="004037F4">
              <w:t xml:space="preserve">provided phone number for the </w:t>
            </w:r>
            <w:r w:rsidR="003C2627">
              <w:t xml:space="preserve">next required </w:t>
            </w:r>
            <w:r w:rsidR="004037F4">
              <w:t>participant.</w:t>
            </w:r>
          </w:p>
          <w:p w14:paraId="55A94409" w14:textId="23460373" w:rsidR="004037F4" w:rsidRDefault="00785EA8" w:rsidP="006B1845">
            <w:pPr>
              <w:pStyle w:val="ListBullet"/>
              <w:numPr>
                <w:ilvl w:val="1"/>
                <w:numId w:val="13"/>
              </w:numPr>
            </w:pPr>
            <w:r>
              <w:t xml:space="preserve">select the conference </w:t>
            </w:r>
            <w:r w:rsidR="00227114">
              <w:t xml:space="preserve">button to connect </w:t>
            </w:r>
            <w:r w:rsidR="003C2627">
              <w:t xml:space="preserve">all </w:t>
            </w:r>
            <w:r w:rsidR="00227114">
              <w:t>participants.</w:t>
            </w:r>
          </w:p>
          <w:p w14:paraId="4D16AA52" w14:textId="77777777" w:rsidR="000B7EE5" w:rsidRPr="00DD5F82" w:rsidRDefault="000B7EE5" w:rsidP="000B7EE5">
            <w:pPr>
              <w:pStyle w:val="ListBullet"/>
              <w:numPr>
                <w:ilvl w:val="0"/>
                <w:numId w:val="0"/>
              </w:numPr>
              <w:ind w:left="527" w:hanging="357"/>
            </w:pPr>
          </w:p>
          <w:p w14:paraId="33F172A0" w14:textId="77777777" w:rsidR="009D7BC6" w:rsidRPr="00E61CC3" w:rsidRDefault="009D7BC6" w:rsidP="009D7BC6">
            <w:pPr>
              <w:pStyle w:val="ListBullet"/>
              <w:rPr>
                <w:b/>
                <w:bCs/>
              </w:rPr>
            </w:pPr>
            <w:r w:rsidRPr="00E61CC3">
              <w:rPr>
                <w:b/>
                <w:bCs/>
              </w:rPr>
              <w:t>TV / COMPUTER</w:t>
            </w:r>
          </w:p>
          <w:p w14:paraId="1929F9C3" w14:textId="779078D2" w:rsidR="00615F91" w:rsidRDefault="003C2627" w:rsidP="009D7BC6">
            <w:pPr>
              <w:pStyle w:val="ListBullet"/>
              <w:numPr>
                <w:ilvl w:val="0"/>
                <w:numId w:val="0"/>
              </w:numPr>
              <w:ind w:left="527" w:hanging="3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To </w:t>
            </w:r>
            <w:r w:rsidR="00615F91">
              <w:rPr>
                <w:sz w:val="21"/>
                <w:szCs w:val="21"/>
              </w:rPr>
              <w:t xml:space="preserve"> connect with a Remote hearing participant</w:t>
            </w:r>
            <w:r w:rsidR="00A140D1">
              <w:rPr>
                <w:sz w:val="21"/>
                <w:szCs w:val="21"/>
              </w:rPr>
              <w:t xml:space="preserve"> </w:t>
            </w:r>
            <w:r w:rsidR="00667A06">
              <w:rPr>
                <w:sz w:val="21"/>
                <w:szCs w:val="21"/>
              </w:rPr>
              <w:t>with video</w:t>
            </w:r>
            <w:r>
              <w:rPr>
                <w:sz w:val="21"/>
                <w:szCs w:val="21"/>
              </w:rPr>
              <w:t>:</w:t>
            </w:r>
          </w:p>
          <w:p w14:paraId="50C72769" w14:textId="6ACA7A21" w:rsidR="009D7BC6" w:rsidRPr="003B11DD" w:rsidRDefault="00023353" w:rsidP="00615F91">
            <w:pPr>
              <w:pStyle w:val="ListBullet"/>
              <w:numPr>
                <w:ilvl w:val="0"/>
                <w:numId w:val="12"/>
              </w:numPr>
            </w:pPr>
            <w:r>
              <w:rPr>
                <w:sz w:val="21"/>
                <w:szCs w:val="21"/>
              </w:rPr>
              <w:t xml:space="preserve">Complete all steps under </w:t>
            </w:r>
            <w:r w:rsidR="003B11DD" w:rsidRPr="004454C3">
              <w:rPr>
                <w:smallCaps/>
                <w:sz w:val="21"/>
                <w:szCs w:val="21"/>
              </w:rPr>
              <w:t>Remote Equipment</w:t>
            </w:r>
          </w:p>
          <w:p w14:paraId="74BC23F8" w14:textId="08EF7619" w:rsidR="003B11DD" w:rsidRPr="007D28A4" w:rsidRDefault="007D28A4" w:rsidP="00615F91">
            <w:pPr>
              <w:pStyle w:val="ListBullet"/>
              <w:numPr>
                <w:ilvl w:val="0"/>
                <w:numId w:val="12"/>
              </w:numPr>
            </w:pPr>
            <w:r>
              <w:rPr>
                <w:sz w:val="21"/>
                <w:szCs w:val="21"/>
              </w:rPr>
              <w:t>Power on the TV using the remote provided</w:t>
            </w:r>
          </w:p>
          <w:p w14:paraId="71F08630" w14:textId="7C780A45" w:rsidR="00415AF3" w:rsidRDefault="00107EB6" w:rsidP="00615F91">
            <w:pPr>
              <w:pStyle w:val="ListBullet"/>
              <w:numPr>
                <w:ilvl w:val="0"/>
                <w:numId w:val="12"/>
              </w:numPr>
            </w:pPr>
            <w:r>
              <w:t>Select T</w:t>
            </w:r>
            <w:r w:rsidR="003B04E8" w:rsidRPr="003B04E8">
              <w:t>eams in calendar view and</w:t>
            </w:r>
            <w:r w:rsidR="003C2627">
              <w:t xml:space="preserve"> find the meeting, Teams will display any meetings scheduled for the specific conference room</w:t>
            </w:r>
            <w:r w:rsidR="003B04E8" w:rsidRPr="003B04E8">
              <w:t xml:space="preserve">  </w:t>
            </w:r>
          </w:p>
          <w:p w14:paraId="4F1F4C2B" w14:textId="4DED8A1A" w:rsidR="00415AF3" w:rsidRDefault="003C2627" w:rsidP="00615F91">
            <w:pPr>
              <w:pStyle w:val="ListBullet"/>
              <w:numPr>
                <w:ilvl w:val="0"/>
                <w:numId w:val="12"/>
              </w:numPr>
            </w:pPr>
            <w:r>
              <w:t xml:space="preserve">In Teams click  on the correct </w:t>
            </w:r>
            <w:r w:rsidR="003B04E8" w:rsidRPr="003B04E8">
              <w:t xml:space="preserve"> meeting and choose </w:t>
            </w:r>
            <w:r>
              <w:t xml:space="preserve">“Join” </w:t>
            </w:r>
            <w:r w:rsidR="003B04E8" w:rsidRPr="003B04E8">
              <w:t xml:space="preserve"> in the upper right hand corne</w:t>
            </w:r>
            <w:r w:rsidR="00415AF3">
              <w:t>r to</w:t>
            </w:r>
            <w:r w:rsidR="003B04E8" w:rsidRPr="003B04E8">
              <w:t xml:space="preserve"> start the meeting. </w:t>
            </w:r>
            <w:r>
              <w:t xml:space="preserve">Individuals participating remotely will </w:t>
            </w:r>
            <w:r w:rsidR="00736AFC">
              <w:t xml:space="preserve">be placed on hold until you admit them into the meeting. </w:t>
            </w:r>
          </w:p>
          <w:p w14:paraId="76B89910" w14:textId="0E4D07EC" w:rsidR="00736AFC" w:rsidRDefault="00736AFC" w:rsidP="00615F91">
            <w:pPr>
              <w:pStyle w:val="ListBullet"/>
              <w:numPr>
                <w:ilvl w:val="0"/>
                <w:numId w:val="12"/>
              </w:numPr>
            </w:pPr>
            <w:r>
              <w:t>Power off and return all equipment to the state in which it was found.</w:t>
            </w:r>
          </w:p>
          <w:p w14:paraId="65AE7188" w14:textId="2EF5E52E" w:rsidR="00090AE4" w:rsidRPr="00DB568F" w:rsidRDefault="00090AE4" w:rsidP="000A152A">
            <w:pPr>
              <w:rPr>
                <w:sz w:val="22"/>
                <w:szCs w:val="22"/>
              </w:rPr>
            </w:pPr>
          </w:p>
          <w:p w14:paraId="5C08EBA7" w14:textId="77777777" w:rsidR="00DB568F" w:rsidRDefault="00DB568F" w:rsidP="00DD5F82">
            <w:pPr>
              <w:pStyle w:val="TextRight"/>
            </w:pPr>
          </w:p>
          <w:p w14:paraId="5ACB031D" w14:textId="2A65DF98" w:rsidR="00400135" w:rsidRPr="000A152A" w:rsidRDefault="007B122C" w:rsidP="00B1580F">
            <w:pPr>
              <w:pStyle w:val="TextRight"/>
              <w:rPr>
                <w:i/>
                <w:iCs/>
              </w:rPr>
            </w:pPr>
            <w:r w:rsidRPr="000A152A">
              <w:rPr>
                <w:i/>
                <w:iCs/>
              </w:rPr>
              <w:t>The Title IX Deputy</w:t>
            </w:r>
            <w:r w:rsidR="00736AFC" w:rsidRPr="000A152A">
              <w:rPr>
                <w:i/>
                <w:iCs/>
              </w:rPr>
              <w:t>/</w:t>
            </w:r>
            <w:r w:rsidRPr="000A152A">
              <w:rPr>
                <w:i/>
                <w:iCs/>
              </w:rPr>
              <w:t xml:space="preserve">Coordinator on campus will contact IT to have equipment tested 30 minutes prior to </w:t>
            </w:r>
            <w:r w:rsidR="0068610D" w:rsidRPr="000A152A">
              <w:rPr>
                <w:i/>
                <w:iCs/>
              </w:rPr>
              <w:t>the start of each hearing.</w:t>
            </w:r>
          </w:p>
        </w:tc>
      </w:tr>
      <w:tr w:rsidR="00DD5F82" w14:paraId="22E3CF74" w14:textId="77777777" w:rsidTr="007865C2">
        <w:trPr>
          <w:gridAfter w:val="1"/>
          <w:wAfter w:w="34" w:type="dxa"/>
          <w:trHeight w:val="80"/>
        </w:trPr>
        <w:tc>
          <w:tcPr>
            <w:tcW w:w="3607" w:type="dxa"/>
            <w:gridSpan w:val="2"/>
            <w:tcBorders>
              <w:bottom w:val="nil"/>
              <w:right w:val="single" w:sz="18" w:space="0" w:color="5F5F5F" w:themeColor="accent5"/>
            </w:tcBorders>
          </w:tcPr>
          <w:p w14:paraId="5058AEDB" w14:textId="786A4670" w:rsidR="00DD5F82" w:rsidRPr="000A152A" w:rsidRDefault="003C2627" w:rsidP="00DD5F82">
            <w:pPr>
              <w:pStyle w:val="TextLeft"/>
              <w:rPr>
                <w:i/>
                <w:iCs/>
              </w:rPr>
            </w:pPr>
            <w:r w:rsidRPr="000A152A">
              <w:rPr>
                <w:i/>
                <w:iCs/>
              </w:rPr>
              <w:t>Note: The Title IX Coordinator/Deputy will schedule the Teams meeting prior to the hearing date.</w:t>
            </w:r>
          </w:p>
        </w:tc>
        <w:tc>
          <w:tcPr>
            <w:tcW w:w="7373" w:type="dxa"/>
            <w:gridSpan w:val="2"/>
            <w:vMerge/>
            <w:tcBorders>
              <w:left w:val="single" w:sz="18" w:space="0" w:color="5F5F5F" w:themeColor="accent5"/>
              <w:bottom w:val="nil"/>
            </w:tcBorders>
          </w:tcPr>
          <w:p w14:paraId="7538E631" w14:textId="77777777" w:rsidR="00DD5F82" w:rsidRDefault="00DD5F82" w:rsidP="00B20DFA">
            <w:pPr>
              <w:pStyle w:val="TextRight"/>
            </w:pPr>
          </w:p>
        </w:tc>
      </w:tr>
    </w:tbl>
    <w:p w14:paraId="77F831F2" w14:textId="3E0250F8" w:rsidR="00B944CF" w:rsidRDefault="00B944CF"/>
    <w:p w14:paraId="0182CFF2" w14:textId="6326317B" w:rsidR="00F43AB4" w:rsidRDefault="003F3DAC">
      <w:pPr>
        <w:rPr>
          <w:sz w:val="22"/>
          <w:szCs w:val="22"/>
        </w:rPr>
      </w:pPr>
      <w:r w:rsidRPr="007D05E7">
        <w:rPr>
          <w:noProof/>
          <w:sz w:val="18"/>
          <w:szCs w:val="18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8D1F4F" wp14:editId="67740124">
                <wp:simplePos x="0" y="0"/>
                <wp:positionH relativeFrom="page">
                  <wp:posOffset>-295275</wp:posOffset>
                </wp:positionH>
                <wp:positionV relativeFrom="page">
                  <wp:posOffset>9810750</wp:posOffset>
                </wp:positionV>
                <wp:extent cx="8515350" cy="247650"/>
                <wp:effectExtent l="0" t="0" r="0" b="0"/>
                <wp:wrapNone/>
                <wp:docPr id="1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15350" cy="2476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15017" id="Rectangle 2" o:spid="_x0000_s1026" style="position:absolute;margin-left:-23.25pt;margin-top:772.5pt;width:670.5pt;height:19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" fillcolor="#4a4a4a [1606]" stroked="f">
                <w10:wrap anchorx="page" anchory="page"/>
              </v:rect>
            </w:pict>
          </mc:Fallback>
        </mc:AlternateContent>
      </w:r>
      <w:r w:rsidR="00F43AB4" w:rsidRPr="007D05E7">
        <w:rPr>
          <w:sz w:val="18"/>
          <w:szCs w:val="18"/>
        </w:rPr>
        <w:t>For additional</w:t>
      </w:r>
      <w:r w:rsidR="0068610D">
        <w:rPr>
          <w:sz w:val="18"/>
          <w:szCs w:val="18"/>
        </w:rPr>
        <w:t xml:space="preserve"> optional</w:t>
      </w:r>
      <w:r w:rsidR="00F43AB4" w:rsidRPr="007D05E7">
        <w:rPr>
          <w:sz w:val="18"/>
          <w:szCs w:val="18"/>
        </w:rPr>
        <w:t xml:space="preserve"> training </w:t>
      </w:r>
      <w:r w:rsidR="007D05E7" w:rsidRPr="007D05E7">
        <w:rPr>
          <w:sz w:val="18"/>
          <w:szCs w:val="18"/>
        </w:rPr>
        <w:t xml:space="preserve">on College Equipment </w:t>
      </w:r>
      <w:r w:rsidR="00F43AB4" w:rsidRPr="007D05E7">
        <w:rPr>
          <w:sz w:val="18"/>
          <w:szCs w:val="18"/>
        </w:rPr>
        <w:t xml:space="preserve">visit the IT SharePoint site at: </w:t>
      </w:r>
      <w:hyperlink r:id="rId11" w:history="1">
        <w:r w:rsidR="007D05E7" w:rsidRPr="007D05E7">
          <w:rPr>
            <w:rStyle w:val="Hyperlink"/>
            <w:sz w:val="18"/>
            <w:szCs w:val="18"/>
          </w:rPr>
          <w:t>https://livepalmer.sharepoint.com/sites/Information-Technology/Shared%20Documents/Forms/AllItems.aspx?viewid=dc3956ae-b265-47e0-ac62-4de525d18454</w:t>
        </w:r>
      </w:hyperlink>
    </w:p>
    <w:p w14:paraId="72C99F00" w14:textId="39897BDA" w:rsidR="00F43AB4" w:rsidRDefault="00F43AB4">
      <w:pPr>
        <w:rPr>
          <w:sz w:val="22"/>
          <w:szCs w:val="22"/>
        </w:rPr>
      </w:pPr>
    </w:p>
    <w:p w14:paraId="189A4D1D" w14:textId="1C55A0DF" w:rsidR="00DD5F82" w:rsidRPr="00E61CC3" w:rsidRDefault="007D05E7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C07525" wp14:editId="4F6C5440">
                <wp:simplePos x="0" y="0"/>
                <wp:positionH relativeFrom="column">
                  <wp:posOffset>1295400</wp:posOffset>
                </wp:positionH>
                <wp:positionV relativeFrom="paragraph">
                  <wp:posOffset>14605</wp:posOffset>
                </wp:positionV>
                <wp:extent cx="37052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384A89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pt,1.15pt" to="393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" strokecolor="gray [3207]" strokeweight="1.5pt">
                <v:stroke joinstyle="miter"/>
              </v:line>
            </w:pict>
          </mc:Fallback>
        </mc:AlternateContent>
      </w:r>
      <w:r w:rsidR="000B7EE5" w:rsidRPr="00E61CC3">
        <w:rPr>
          <w:sz w:val="22"/>
          <w:szCs w:val="22"/>
        </w:rPr>
        <w:t xml:space="preserve"> </w:t>
      </w:r>
    </w:p>
    <w:sectPr w:rsidR="00DD5F82" w:rsidRPr="00E61CC3" w:rsidSect="006C7C08">
      <w:pgSz w:w="12240" w:h="15840" w:code="1"/>
      <w:pgMar w:top="45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9576D" w14:textId="77777777" w:rsidR="002A2AEB" w:rsidRDefault="002A2AEB" w:rsidP="00F316AD">
      <w:r>
        <w:separator/>
      </w:r>
    </w:p>
  </w:endnote>
  <w:endnote w:type="continuationSeparator" w:id="0">
    <w:p w14:paraId="311EB6D1" w14:textId="77777777" w:rsidR="002A2AEB" w:rsidRDefault="002A2AEB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FC91A" w14:textId="77777777" w:rsidR="002A2AEB" w:rsidRDefault="002A2AEB" w:rsidP="00F316AD">
      <w:r>
        <w:separator/>
      </w:r>
    </w:p>
  </w:footnote>
  <w:footnote w:type="continuationSeparator" w:id="0">
    <w:p w14:paraId="3B0D0D03" w14:textId="77777777" w:rsidR="002A2AEB" w:rsidRDefault="002A2AEB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6646B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C86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FEFF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BE9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706E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9895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1E67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4EE1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CEA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A8F4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F5F5F" w:themeColor="accent5"/>
      </w:rPr>
    </w:lvl>
  </w:abstractNum>
  <w:abstractNum w:abstractNumId="10" w15:restartNumberingAfterBreak="0">
    <w:nsid w:val="3DD848AD"/>
    <w:multiLevelType w:val="hybridMultilevel"/>
    <w:tmpl w:val="D1F8AECA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" w15:restartNumberingAfterBreak="0">
    <w:nsid w:val="47F6769E"/>
    <w:multiLevelType w:val="hybridMultilevel"/>
    <w:tmpl w:val="B0FA05B4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 w15:restartNumberingAfterBreak="0">
    <w:nsid w:val="5EC5095E"/>
    <w:multiLevelType w:val="hybridMultilevel"/>
    <w:tmpl w:val="E4504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E3BCA"/>
    <w:multiLevelType w:val="hybridMultilevel"/>
    <w:tmpl w:val="0AC8DF70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EE5"/>
    <w:rsid w:val="00023353"/>
    <w:rsid w:val="00090AE4"/>
    <w:rsid w:val="000A152A"/>
    <w:rsid w:val="000B7EE5"/>
    <w:rsid w:val="000D172B"/>
    <w:rsid w:val="000E1D44"/>
    <w:rsid w:val="000E5165"/>
    <w:rsid w:val="00107EB6"/>
    <w:rsid w:val="001213BA"/>
    <w:rsid w:val="00136F3E"/>
    <w:rsid w:val="0017016A"/>
    <w:rsid w:val="001827B1"/>
    <w:rsid w:val="001C151D"/>
    <w:rsid w:val="001F6D00"/>
    <w:rsid w:val="0020696E"/>
    <w:rsid w:val="00227114"/>
    <w:rsid w:val="002356A2"/>
    <w:rsid w:val="002A2AEB"/>
    <w:rsid w:val="002D12DA"/>
    <w:rsid w:val="003019B2"/>
    <w:rsid w:val="003247C8"/>
    <w:rsid w:val="00335684"/>
    <w:rsid w:val="0034687F"/>
    <w:rsid w:val="0034688D"/>
    <w:rsid w:val="003B04E8"/>
    <w:rsid w:val="003B11DD"/>
    <w:rsid w:val="003B3CEE"/>
    <w:rsid w:val="003C2627"/>
    <w:rsid w:val="003E6FF8"/>
    <w:rsid w:val="003F05EF"/>
    <w:rsid w:val="003F304A"/>
    <w:rsid w:val="003F3DAC"/>
    <w:rsid w:val="00400135"/>
    <w:rsid w:val="0040233B"/>
    <w:rsid w:val="004037F4"/>
    <w:rsid w:val="00415AF3"/>
    <w:rsid w:val="004454C3"/>
    <w:rsid w:val="00496D9A"/>
    <w:rsid w:val="004A1397"/>
    <w:rsid w:val="005015B9"/>
    <w:rsid w:val="00511A6E"/>
    <w:rsid w:val="00523092"/>
    <w:rsid w:val="00524E17"/>
    <w:rsid w:val="00550892"/>
    <w:rsid w:val="00567DCF"/>
    <w:rsid w:val="0057534A"/>
    <w:rsid w:val="0059226B"/>
    <w:rsid w:val="00605A5B"/>
    <w:rsid w:val="00615F91"/>
    <w:rsid w:val="0061770D"/>
    <w:rsid w:val="0066046A"/>
    <w:rsid w:val="00667A06"/>
    <w:rsid w:val="0068610D"/>
    <w:rsid w:val="006A1B48"/>
    <w:rsid w:val="006B1845"/>
    <w:rsid w:val="006B1FC6"/>
    <w:rsid w:val="006C53B8"/>
    <w:rsid w:val="006C60E6"/>
    <w:rsid w:val="006C7C08"/>
    <w:rsid w:val="006D1CE8"/>
    <w:rsid w:val="006E70D3"/>
    <w:rsid w:val="0071019F"/>
    <w:rsid w:val="00730BED"/>
    <w:rsid w:val="00736AFC"/>
    <w:rsid w:val="00785EA8"/>
    <w:rsid w:val="007865C2"/>
    <w:rsid w:val="007B0F94"/>
    <w:rsid w:val="007B122C"/>
    <w:rsid w:val="007D05E7"/>
    <w:rsid w:val="007D28A4"/>
    <w:rsid w:val="007E2287"/>
    <w:rsid w:val="00830900"/>
    <w:rsid w:val="008926E4"/>
    <w:rsid w:val="008948C2"/>
    <w:rsid w:val="008C756A"/>
    <w:rsid w:val="008D03BC"/>
    <w:rsid w:val="00951C4B"/>
    <w:rsid w:val="00963C6B"/>
    <w:rsid w:val="009A0834"/>
    <w:rsid w:val="009D1E7A"/>
    <w:rsid w:val="009D7BC6"/>
    <w:rsid w:val="009E3C0B"/>
    <w:rsid w:val="00A034E7"/>
    <w:rsid w:val="00A140D1"/>
    <w:rsid w:val="00A77921"/>
    <w:rsid w:val="00A83784"/>
    <w:rsid w:val="00A87B67"/>
    <w:rsid w:val="00B114FA"/>
    <w:rsid w:val="00B1580F"/>
    <w:rsid w:val="00B532C8"/>
    <w:rsid w:val="00B575FB"/>
    <w:rsid w:val="00B83E66"/>
    <w:rsid w:val="00B944CF"/>
    <w:rsid w:val="00BA008B"/>
    <w:rsid w:val="00BC5B49"/>
    <w:rsid w:val="00C1095A"/>
    <w:rsid w:val="00C12EE5"/>
    <w:rsid w:val="00C41261"/>
    <w:rsid w:val="00C55D85"/>
    <w:rsid w:val="00CA2273"/>
    <w:rsid w:val="00CD50FD"/>
    <w:rsid w:val="00D0373E"/>
    <w:rsid w:val="00D13BF9"/>
    <w:rsid w:val="00D41F72"/>
    <w:rsid w:val="00D47124"/>
    <w:rsid w:val="00D55798"/>
    <w:rsid w:val="00DB568F"/>
    <w:rsid w:val="00DD5D7B"/>
    <w:rsid w:val="00DD5F82"/>
    <w:rsid w:val="00DF529E"/>
    <w:rsid w:val="00E14932"/>
    <w:rsid w:val="00E42A13"/>
    <w:rsid w:val="00E61CC3"/>
    <w:rsid w:val="00E67CDA"/>
    <w:rsid w:val="00EB0539"/>
    <w:rsid w:val="00F2291A"/>
    <w:rsid w:val="00F316AD"/>
    <w:rsid w:val="00F43AB4"/>
    <w:rsid w:val="00F4501B"/>
    <w:rsid w:val="00F82F45"/>
    <w:rsid w:val="00FE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7678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9E3C0B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DD5F82"/>
    <w:pPr>
      <w:spacing w:before="120" w:after="120"/>
      <w:ind w:right="170"/>
      <w:jc w:val="right"/>
      <w:outlineLvl w:val="0"/>
    </w:pPr>
    <w:rPr>
      <w:rFonts w:asciiTheme="majorHAnsi" w:hAnsiTheme="majorHAnsi" w:cs="Times New Roman (Body CS)"/>
      <w:b/>
      <w:color w:val="5F5F5F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DD5F82"/>
    <w:pPr>
      <w:spacing w:before="120" w:after="120"/>
      <w:ind w:left="170"/>
      <w:outlineLvl w:val="1"/>
    </w:pPr>
    <w:rPr>
      <w:rFonts w:asciiTheme="majorHAnsi" w:hAnsiTheme="majorHAnsi"/>
      <w:b/>
      <w:color w:val="5F5F5F" w:themeColor="accent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DD5F82"/>
    <w:rPr>
      <w:rFonts w:asciiTheme="majorHAnsi" w:hAnsiTheme="majorHAnsi" w:cs="Times New Roman (Body CS)"/>
      <w:b/>
      <w:color w:val="5F5F5F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DD5F82"/>
    <w:pPr>
      <w:spacing w:line="288" w:lineRule="auto"/>
      <w:ind w:right="170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DD5F82"/>
    <w:rPr>
      <w:rFonts w:asciiTheme="majorHAnsi" w:hAnsiTheme="majorHAnsi"/>
      <w:b/>
      <w:color w:val="5F5F5F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DD5F82"/>
    <w:pPr>
      <w:spacing w:line="288" w:lineRule="auto"/>
      <w:ind w:left="170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34688D"/>
    <w:rPr>
      <w:color w:val="5F5F5F" w:themeColor="accent5"/>
    </w:rPr>
  </w:style>
  <w:style w:type="paragraph" w:styleId="ListBullet">
    <w:name w:val="List Bullet"/>
    <w:basedOn w:val="Normal"/>
    <w:uiPriority w:val="99"/>
    <w:unhideWhenUsed/>
    <w:rsid w:val="00DD5F82"/>
    <w:pPr>
      <w:numPr>
        <w:numId w:val="10"/>
      </w:numPr>
      <w:ind w:left="527" w:hanging="357"/>
      <w:contextualSpacing/>
    </w:pPr>
    <w:rPr>
      <w:color w:val="404040" w:themeColor="text1" w:themeTint="BF"/>
      <w:sz w:val="22"/>
    </w:rPr>
  </w:style>
  <w:style w:type="paragraph" w:customStyle="1" w:styleId="GraphicAnchor">
    <w:name w:val="Graphic Anchor"/>
    <w:basedOn w:val="Normal"/>
    <w:uiPriority w:val="7"/>
    <w:qFormat/>
    <w:rsid w:val="00DD5F82"/>
    <w:rPr>
      <w:sz w:val="2"/>
    </w:rPr>
  </w:style>
  <w:style w:type="paragraph" w:styleId="NoSpacing">
    <w:name w:val="No Spacing"/>
    <w:uiPriority w:val="1"/>
    <w:semiHidden/>
    <w:rsid w:val="00DD5F82"/>
    <w:pPr>
      <w:spacing w:before="20" w:line="440" w:lineRule="exact"/>
    </w:pPr>
    <w:rPr>
      <w:color w:val="000000" w:themeColor="text2"/>
      <w:sz w:val="28"/>
      <w:szCs w:val="18"/>
      <w:lang w:val="ru-RU"/>
    </w:rPr>
  </w:style>
  <w:style w:type="character" w:styleId="Hyperlink">
    <w:name w:val="Hyperlink"/>
    <w:basedOn w:val="DefaultParagraphFont"/>
    <w:uiPriority w:val="99"/>
    <w:unhideWhenUsed/>
    <w:rsid w:val="007D05E7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5E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7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7B1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ivepalmer.sharepoint.com/sites/Information-Technology/Shared%20Documents/Forms/AllItems.aspx?viewid=dc3956ae-b265-47e0-ac62-4de525d18454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y.lenehan\AppData\Local\Microsoft\Office\16.0\DTS\en-US%7b60CAF145-6327-4110-BFE5-F0428ADAE8EE%7d\%7b5C949849-2B77-4B37-82CC-7356A39CC7E4%7dtf56150113.dotx" TargetMode="External"/></Relationships>
</file>

<file path=word/theme/theme1.xml><?xml version="1.0" encoding="utf-8"?>
<a:theme xmlns:a="http://schemas.openxmlformats.org/drawingml/2006/main" name="ModernResu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bc3d5052-65ca-49e8-9773-60724af66a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E38D010F874342AE65C95B49A16327" ma:contentTypeVersion="10" ma:contentTypeDescription="Create a new document." ma:contentTypeScope="" ma:versionID="2b413b3024b6a7519b8633a9cf35351b">
  <xsd:schema xmlns:xsd="http://www.w3.org/2001/XMLSchema" xmlns:xs="http://www.w3.org/2001/XMLSchema" xmlns:p="http://schemas.microsoft.com/office/2006/metadata/properties" xmlns:ns3="bc3d5052-65ca-49e8-9773-60724af66a67" targetNamespace="http://schemas.microsoft.com/office/2006/metadata/properties" ma:root="true" ma:fieldsID="bbf4709ab8b7eb9c7de2bd6197502390" ns3:_="">
    <xsd:import namespace="bc3d5052-65ca-49e8-9773-60724af66a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d5052-65ca-49e8-9773-60724af66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412B5C-B945-415D-A013-9E997802710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c3d5052-65ca-49e8-9773-60724af66a6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BD33B10-6B16-4B7B-8701-518B405399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8BB72D-36B3-43F6-88FA-79AFC23F3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d5052-65ca-49e8-9773-60724af66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{5C949849-2B77-4B37-82CC-7356A39CC7E4}tf56150113.dotx</Template>
  <TotalTime>0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2020-06-26T14:13:00Z</dcterms:created>
  <dcterms:modified xsi:type="dcterms:W3CDTF">2021-03-12T20:05:00Z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0x0101003DE38D010F874342AE65C95B49A16327</vt:lpwstr>
  </property>
</Properties>
</file>